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443"/>
        <w:gridCol w:w="304"/>
        <w:gridCol w:w="5443"/>
      </w:tblGrid>
      <w:tr w:rsidR="00B26C6F" w:rsidTr="00B26C6F">
        <w:trPr>
          <w:trHeight w:hRule="exact" w:val="3175"/>
          <w:jc w:val="center"/>
        </w:trPr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tc>
          <w:tcPr>
            <w:tcW w:w="170" w:type="dxa"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</w:tr>
      <w:tr w:rsidR="00B26C6F" w:rsidTr="00B26C6F">
        <w:trPr>
          <w:trHeight w:hRule="exact" w:val="3175"/>
          <w:jc w:val="center"/>
        </w:trPr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spacing w:before="60" w:after="60"/>
              <w:jc w:val="both"/>
              <w:rPr>
                <w:b/>
                <w:i/>
                <w:spacing w:val="14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tc>
          <w:tcPr>
            <w:tcW w:w="170" w:type="dxa"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</w:tr>
      <w:tr w:rsidR="00B26C6F" w:rsidTr="00B26C6F">
        <w:trPr>
          <w:trHeight w:hRule="exact" w:val="3175"/>
          <w:jc w:val="center"/>
        </w:trPr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spacing w:before="60" w:after="60"/>
              <w:jc w:val="both"/>
              <w:rPr>
                <w:b/>
                <w:i/>
                <w:spacing w:val="14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tc>
          <w:tcPr>
            <w:tcW w:w="170" w:type="dxa"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bookmarkStart w:id="0" w:name="_GoBack"/>
        <w:bookmarkEnd w:id="0"/>
      </w:tr>
      <w:tr w:rsidR="00B26C6F" w:rsidTr="00B26C6F">
        <w:trPr>
          <w:trHeight w:hRule="exact" w:val="3175"/>
          <w:jc w:val="center"/>
        </w:trPr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spacing w:before="60" w:after="60"/>
              <w:jc w:val="both"/>
              <w:rPr>
                <w:b/>
                <w:i/>
                <w:spacing w:val="14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tc>
          <w:tcPr>
            <w:tcW w:w="170" w:type="dxa"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</w:tr>
      <w:tr w:rsidR="00B26C6F" w:rsidTr="00B26C6F">
        <w:trPr>
          <w:trHeight w:hRule="exact" w:val="3175"/>
          <w:jc w:val="center"/>
        </w:trPr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spacing w:before="60" w:after="60"/>
              <w:jc w:val="both"/>
              <w:rPr>
                <w:b/>
                <w:i/>
                <w:spacing w:val="14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  <w:tc>
          <w:tcPr>
            <w:tcW w:w="170" w:type="dxa"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</w:p>
        </w:tc>
        <w:tc>
          <w:tcPr>
            <w:tcW w:w="5443" w:type="dxa"/>
            <w:hideMark/>
          </w:tcPr>
          <w:p w:rsidR="00B26C6F" w:rsidRDefault="00B26C6F">
            <w:pPr>
              <w:spacing w:before="60" w:after="60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VELIKONOCE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B26C6F" w:rsidRDefault="00B26C6F">
            <w:pPr>
              <w:jc w:val="both"/>
              <w:rPr>
                <w:i/>
                <w:spacing w:val="14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Východ z Egypta. – 2. Ježíšovu smrt a vzkříšení. – 3. Květnou. – </w:t>
            </w:r>
            <w:r>
              <w:rPr>
                <w:rFonts w:ascii="Arial" w:hAnsi="Arial"/>
                <w:sz w:val="16"/>
              </w:rPr>
              <w:br/>
              <w:t xml:space="preserve">4. Ježíšův vjezd do </w:t>
            </w:r>
            <w:proofErr w:type="spellStart"/>
            <w:r>
              <w:rPr>
                <w:rFonts w:ascii="Arial" w:hAnsi="Arial"/>
                <w:sz w:val="16"/>
              </w:rPr>
              <w:t>Jeruzléma</w:t>
            </w:r>
            <w:proofErr w:type="spellEnd"/>
            <w:r>
              <w:rPr>
                <w:rFonts w:ascii="Arial" w:hAnsi="Arial"/>
                <w:sz w:val="16"/>
              </w:rPr>
              <w:t xml:space="preserve">. – 5. Na Květnou neděli a o Velkém pátku. – 6. Poslední večeři Pána Ježíše. – 7. Na Zelený čtvrtek mší na památku poslední večeře. – 8. Na Velký pátek. – 9. Ve tři hodiny odpoledne. – 10. Ničím. Není mše sv., pouze obřady. – 11. Jidáš. – </w:t>
            </w:r>
            <w:r>
              <w:rPr>
                <w:rFonts w:ascii="Arial" w:hAnsi="Arial"/>
                <w:sz w:val="16"/>
              </w:rPr>
              <w:br/>
              <w:t xml:space="preserve">12. Petr. – 13. Petr, Jakub a Jan. – 14. Petr. – 15. </w:t>
            </w:r>
            <w:proofErr w:type="spellStart"/>
            <w:r>
              <w:rPr>
                <w:rFonts w:ascii="Arial" w:hAnsi="Arial"/>
                <w:sz w:val="16"/>
              </w:rPr>
              <w:t>Annáš</w:t>
            </w:r>
            <w:proofErr w:type="spellEnd"/>
            <w:r>
              <w:rPr>
                <w:rFonts w:ascii="Arial" w:hAnsi="Arial"/>
                <w:sz w:val="16"/>
              </w:rPr>
              <w:t xml:space="preserve">, Kaifáš. – </w:t>
            </w:r>
            <w:r>
              <w:rPr>
                <w:rFonts w:ascii="Arial" w:hAnsi="Arial"/>
                <w:sz w:val="16"/>
              </w:rPr>
              <w:br/>
              <w:t>16. Velerada. – 17. Na hoře Kalvárii v Jeruzalémě. – 18. Ježíš nazaret</w:t>
            </w:r>
            <w:r>
              <w:rPr>
                <w:rFonts w:ascii="Arial" w:hAnsi="Arial"/>
                <w:sz w:val="16"/>
              </w:rPr>
              <w:softHyphen/>
              <w:t xml:space="preserve">ský král židovský. – 19. Třetí den. – 20. Josefu z </w:t>
            </w:r>
            <w:proofErr w:type="spellStart"/>
            <w:r>
              <w:rPr>
                <w:rFonts w:ascii="Arial" w:hAnsi="Arial"/>
                <w:sz w:val="16"/>
              </w:rPr>
              <w:t>Arimatie</w:t>
            </w:r>
            <w:proofErr w:type="spellEnd"/>
            <w:r>
              <w:rPr>
                <w:rFonts w:ascii="Arial" w:hAnsi="Arial"/>
                <w:sz w:val="16"/>
              </w:rPr>
              <w:t>. – 21. V ne</w:t>
            </w:r>
            <w:r>
              <w:rPr>
                <w:rFonts w:ascii="Arial" w:hAnsi="Arial"/>
                <w:sz w:val="16"/>
              </w:rPr>
              <w:softHyphen/>
              <w:t xml:space="preserve">děli. – 22. Za zahradníka. – 23. Apoštol Tomáš. – 24. Pokoj vám. – </w:t>
            </w:r>
            <w:r>
              <w:rPr>
                <w:rFonts w:ascii="Arial" w:hAnsi="Arial"/>
                <w:sz w:val="16"/>
              </w:rPr>
              <w:br/>
              <w:t xml:space="preserve">25. Je to vždy neděle po prvním jarním úplňku. – 26. O velikonoční vigilii. – 27. Paškál. – 28. Pět Kristových ran. – 29. Alfa a omega. – </w:t>
            </w:r>
            <w:r>
              <w:rPr>
                <w:rFonts w:ascii="Arial" w:hAnsi="Arial"/>
                <w:sz w:val="16"/>
              </w:rPr>
              <w:br/>
              <w:t>30. Od Božího hodu velikonočního po slavnost Seslání Ducha svatého. – 31. Za čtyřicet dní. – 32. Po padesáti dnech.</w:t>
            </w:r>
          </w:p>
        </w:tc>
      </w:tr>
    </w:tbl>
    <w:p w:rsidR="00B26C6F" w:rsidRDefault="00B26C6F" w:rsidP="00B26C6F">
      <w:pPr>
        <w:jc w:val="both"/>
        <w:rPr>
          <w:sz w:val="2"/>
        </w:rPr>
      </w:pPr>
    </w:p>
    <w:p w:rsidR="007C2D50" w:rsidRPr="00545A7A" w:rsidRDefault="007C2D50" w:rsidP="00226DB4">
      <w:pPr>
        <w:rPr>
          <w:szCs w:val="24"/>
        </w:rPr>
      </w:pPr>
    </w:p>
    <w:sectPr w:rsidR="007C2D50" w:rsidRPr="00545A7A" w:rsidSect="00B26C6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6F"/>
    <w:rsid w:val="00226DB4"/>
    <w:rsid w:val="00545A7A"/>
    <w:rsid w:val="007C2D50"/>
    <w:rsid w:val="00B26C6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C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C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1340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1</cp:revision>
  <dcterms:created xsi:type="dcterms:W3CDTF">2014-10-20T08:37:00Z</dcterms:created>
  <dcterms:modified xsi:type="dcterms:W3CDTF">2014-10-20T08:41:00Z</dcterms:modified>
</cp:coreProperties>
</file>